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D726" w14:textId="77777777" w:rsidR="00317B1C" w:rsidRPr="00645816" w:rsidRDefault="00317B1C" w:rsidP="005907B2">
      <w:pPr>
        <w:spacing w:after="0" w:line="240" w:lineRule="auto"/>
        <w:jc w:val="both"/>
        <w:rPr>
          <w:rFonts w:ascii="Times New Roman" w:eastAsia="Times New Roman" w:hAnsi="Times New Roman" w:cs="Times New Roman"/>
          <w:sz w:val="24"/>
          <w:szCs w:val="24"/>
          <w:u w:val="single"/>
          <w:lang w:eastAsia="ru-RU"/>
        </w:rPr>
      </w:pPr>
      <w:r w:rsidRPr="00645816">
        <w:rPr>
          <w:rFonts w:ascii="Times New Roman" w:hAnsi="Times New Roman"/>
          <w:noProof/>
          <w:sz w:val="28"/>
          <w:szCs w:val="28"/>
          <w:lang w:eastAsia="ru-RU"/>
        </w:rPr>
        <w:drawing>
          <wp:anchor distT="0" distB="0" distL="114300" distR="114300" simplePos="0" relativeHeight="251659264" behindDoc="0" locked="0" layoutInCell="1" allowOverlap="1" wp14:anchorId="2A344320" wp14:editId="31FFEA8F">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F014C4" w:rsidRPr="00645816">
        <w:rPr>
          <w:rFonts w:ascii="Times New Roman" w:eastAsia="Times New Roman" w:hAnsi="Times New Roman" w:cs="Times New Roman"/>
          <w:sz w:val="24"/>
          <w:szCs w:val="24"/>
          <w:lang w:eastAsia="ru-RU"/>
        </w:rPr>
        <w:fldChar w:fldCharType="begin"/>
      </w:r>
      <w:r w:rsidRPr="00645816">
        <w:rPr>
          <w:rFonts w:ascii="Times New Roman" w:eastAsia="Times New Roman" w:hAnsi="Times New Roman" w:cs="Times New Roman"/>
          <w:sz w:val="24"/>
          <w:szCs w:val="24"/>
          <w:lang w:eastAsia="ru-RU"/>
        </w:rPr>
        <w:instrText xml:space="preserve"> HYPERLINK "https://www.enpf.kz/upload/iblock/530/530fc2935ab932e01a02840ea97d3bdd.pdf" \l "page=1" \o "Страница 1" </w:instrText>
      </w:r>
      <w:r w:rsidR="00F014C4" w:rsidRPr="00645816">
        <w:rPr>
          <w:rFonts w:ascii="Times New Roman" w:eastAsia="Times New Roman" w:hAnsi="Times New Roman" w:cs="Times New Roman"/>
          <w:sz w:val="24"/>
          <w:szCs w:val="24"/>
          <w:lang w:eastAsia="ru-RU"/>
        </w:rPr>
        <w:fldChar w:fldCharType="separate"/>
      </w:r>
    </w:p>
    <w:p w14:paraId="1E5BC66A" w14:textId="77777777" w:rsidR="00317B1C" w:rsidRPr="00645816" w:rsidRDefault="00F014C4" w:rsidP="005907B2">
      <w:pPr>
        <w:pStyle w:val="a3"/>
        <w:jc w:val="both"/>
        <w:rPr>
          <w:rFonts w:ascii="Times New Roman" w:hAnsi="Times New Roman"/>
          <w:sz w:val="28"/>
          <w:szCs w:val="28"/>
        </w:rPr>
      </w:pPr>
      <w:r w:rsidRPr="00645816">
        <w:rPr>
          <w:rFonts w:ascii="Times New Roman" w:eastAsia="Times New Roman" w:hAnsi="Times New Roman"/>
          <w:sz w:val="24"/>
          <w:szCs w:val="24"/>
          <w:lang w:eastAsia="ru-RU"/>
        </w:rPr>
        <w:fldChar w:fldCharType="end"/>
      </w:r>
    </w:p>
    <w:p w14:paraId="41D7A2DB" w14:textId="2A548FF4" w:rsidR="00317B1C" w:rsidRPr="00645816" w:rsidRDefault="00DB33D9" w:rsidP="005907B2">
      <w:pPr>
        <w:spacing w:after="0" w:line="240" w:lineRule="auto"/>
        <w:jc w:val="both"/>
        <w:rPr>
          <w:rFonts w:ascii="Times New Roman" w:eastAsia="Calibri" w:hAnsi="Times New Roman" w:cs="Times New Roman"/>
          <w:sz w:val="28"/>
          <w:szCs w:val="28"/>
        </w:rPr>
      </w:pPr>
      <w:r w:rsidRPr="00645816">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1D631D0" wp14:editId="2B59AD28">
                <wp:simplePos x="0" y="0"/>
                <wp:positionH relativeFrom="column">
                  <wp:posOffset>-1061085</wp:posOffset>
                </wp:positionH>
                <wp:positionV relativeFrom="paragraph">
                  <wp:posOffset>124460</wp:posOffset>
                </wp:positionV>
                <wp:extent cx="7515225" cy="639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1340" w14:textId="2190DACA" w:rsidR="00645816" w:rsidRDefault="00645816" w:rsidP="00317B1C">
                            <w:pPr>
                              <w:spacing w:after="120"/>
                              <w:ind w:left="142"/>
                              <w:jc w:val="center"/>
                              <w:rPr>
                                <w:rFonts w:ascii="Times New Roman" w:hAnsi="Times New Roman"/>
                                <w:b/>
                                <w:sz w:val="26"/>
                                <w:szCs w:val="26"/>
                              </w:rPr>
                            </w:pPr>
                          </w:p>
                          <w:p w14:paraId="4D264B14" w14:textId="292B6C6A" w:rsidR="00645816" w:rsidRPr="00A56119" w:rsidRDefault="00A56119" w:rsidP="005907B2">
                            <w:pPr>
                              <w:spacing w:after="120"/>
                              <w:ind w:left="142"/>
                              <w:rPr>
                                <w:rFonts w:ascii="Times New Roman" w:hAnsi="Times New Roman"/>
                                <w:b/>
                                <w:sz w:val="26"/>
                                <w:szCs w:val="26"/>
                                <w:lang w:val="kk-KZ"/>
                              </w:rPr>
                            </w:pPr>
                            <w:r>
                              <w:rPr>
                                <w:rFonts w:ascii="Times New Roman" w:hAnsi="Times New Roman"/>
                                <w:b/>
                                <w:sz w:val="26"/>
                                <w:szCs w:val="26"/>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631D0" id="_x0000_t202" coordsize="21600,21600" o:spt="202" path="m,l,21600r21600,l21600,xe">
                <v:stroke joinstyle="miter"/>
                <v:path gradientshapeok="t" o:connecttype="rect"/>
              </v:shapetype>
              <v:shape id="Text Box 2" o:spid="_x0000_s1026" type="#_x0000_t202" style="position:absolute;left:0;text-align:left;margin-left:-83.55pt;margin-top:9.8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14:paraId="388A1340" w14:textId="2190DACA" w:rsidR="00645816" w:rsidRDefault="00645816" w:rsidP="00317B1C">
                      <w:pPr>
                        <w:spacing w:after="120"/>
                        <w:ind w:left="142"/>
                        <w:jc w:val="center"/>
                        <w:rPr>
                          <w:rFonts w:ascii="Times New Roman" w:hAnsi="Times New Roman"/>
                          <w:b/>
                          <w:sz w:val="26"/>
                          <w:szCs w:val="26"/>
                        </w:rPr>
                      </w:pPr>
                    </w:p>
                    <w:p w14:paraId="4D264B14" w14:textId="292B6C6A" w:rsidR="00645816" w:rsidRPr="00A56119" w:rsidRDefault="00A56119" w:rsidP="005907B2">
                      <w:pPr>
                        <w:spacing w:after="120"/>
                        <w:ind w:left="142"/>
                        <w:rPr>
                          <w:rFonts w:ascii="Times New Roman" w:hAnsi="Times New Roman"/>
                          <w:b/>
                          <w:sz w:val="26"/>
                          <w:szCs w:val="26"/>
                          <w:lang w:val="kk-KZ"/>
                        </w:rPr>
                      </w:pPr>
                      <w:r>
                        <w:rPr>
                          <w:rFonts w:ascii="Times New Roman" w:hAnsi="Times New Roman"/>
                          <w:b/>
                          <w:sz w:val="26"/>
                          <w:szCs w:val="26"/>
                          <w:lang w:val="kk-KZ"/>
                        </w:rPr>
                        <w:t xml:space="preserve">                                                       </w:t>
                      </w:r>
                    </w:p>
                  </w:txbxContent>
                </v:textbox>
              </v:shape>
            </w:pict>
          </mc:Fallback>
        </mc:AlternateContent>
      </w:r>
      <w:r w:rsidRPr="00645816">
        <w:rPr>
          <w:rFonts w:ascii="Times New Roman" w:eastAsia="Calibri" w:hAnsi="Times New Roman" w:cs="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5141C570" wp14:editId="2E7E46E6">
                <wp:simplePos x="0" y="0"/>
                <wp:positionH relativeFrom="column">
                  <wp:posOffset>-434340</wp:posOffset>
                </wp:positionH>
                <wp:positionV relativeFrom="paragraph">
                  <wp:posOffset>41274</wp:posOffset>
                </wp:positionV>
                <wp:extent cx="6438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D4073BA"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14:paraId="088F76F1" w14:textId="77777777" w:rsidR="00317B1C" w:rsidRPr="00645816" w:rsidRDefault="00317B1C" w:rsidP="005907B2">
      <w:pPr>
        <w:spacing w:after="0" w:line="240" w:lineRule="auto"/>
        <w:jc w:val="both"/>
        <w:rPr>
          <w:rFonts w:ascii="Times New Roman" w:eastAsia="Calibri" w:hAnsi="Times New Roman" w:cs="Times New Roman"/>
          <w:sz w:val="28"/>
          <w:szCs w:val="28"/>
        </w:rPr>
      </w:pPr>
    </w:p>
    <w:p w14:paraId="03C3E835" w14:textId="442875F8" w:rsidR="00645816" w:rsidRPr="00645816" w:rsidRDefault="00A56119" w:rsidP="005907B2">
      <w:pPr>
        <w:jc w:val="center"/>
        <w:rPr>
          <w:rFonts w:ascii="Times New Roman" w:hAnsi="Times New Roman" w:cs="Times New Roman"/>
          <w:b/>
          <w:sz w:val="28"/>
          <w:szCs w:val="28"/>
        </w:rPr>
      </w:pPr>
      <w:r>
        <w:rPr>
          <w:rFonts w:ascii="Times New Roman" w:hAnsi="Times New Roman" w:cs="Times New Roman"/>
          <w:b/>
          <w:sz w:val="28"/>
          <w:szCs w:val="28"/>
          <w:lang w:val="kk-KZ"/>
        </w:rPr>
        <w:t>АҚПАРАТТЫҚ ХАБАРЛАМА</w:t>
      </w:r>
    </w:p>
    <w:p w14:paraId="56EAA916" w14:textId="5B4D2A9B" w:rsidR="00645816" w:rsidRPr="002A6DC9" w:rsidRDefault="00A56119" w:rsidP="005907B2">
      <w:pPr>
        <w:spacing w:after="120"/>
        <w:ind w:left="142"/>
        <w:jc w:val="center"/>
        <w:rPr>
          <w:rFonts w:ascii="Times New Roman" w:hAnsi="Times New Roman"/>
          <w:b/>
          <w:sz w:val="28"/>
          <w:szCs w:val="28"/>
        </w:rPr>
      </w:pPr>
      <w:r>
        <w:rPr>
          <w:rFonts w:ascii="Times New Roman" w:hAnsi="Times New Roman"/>
          <w:b/>
          <w:sz w:val="28"/>
          <w:szCs w:val="28"/>
          <w:lang w:val="kk-KZ"/>
        </w:rPr>
        <w:t xml:space="preserve">2019 жылғы </w:t>
      </w:r>
      <w:r w:rsidR="00645816" w:rsidRPr="002A6DC9">
        <w:rPr>
          <w:rFonts w:ascii="Times New Roman" w:hAnsi="Times New Roman"/>
          <w:b/>
          <w:sz w:val="28"/>
          <w:szCs w:val="28"/>
        </w:rPr>
        <w:t xml:space="preserve">«___» </w:t>
      </w:r>
      <w:r>
        <w:rPr>
          <w:rFonts w:ascii="Times New Roman" w:hAnsi="Times New Roman"/>
          <w:b/>
          <w:sz w:val="28"/>
          <w:szCs w:val="28"/>
          <w:lang w:val="kk-KZ"/>
        </w:rPr>
        <w:t>ақпан</w:t>
      </w:r>
    </w:p>
    <w:p w14:paraId="113BA291" w14:textId="77777777" w:rsidR="00DF1F45" w:rsidRDefault="00DF1F45" w:rsidP="00DF1F45">
      <w:pPr>
        <w:pStyle w:val="a3"/>
        <w:jc w:val="center"/>
        <w:rPr>
          <w:rFonts w:ascii="Times New Roman" w:hAnsi="Times New Roman"/>
          <w:b/>
          <w:sz w:val="28"/>
          <w:szCs w:val="28"/>
          <w:lang w:val="kk-KZ"/>
        </w:rPr>
      </w:pPr>
    </w:p>
    <w:p w14:paraId="4929E645" w14:textId="18FAFAC8" w:rsidR="00DF1F45" w:rsidRDefault="00DF1F45" w:rsidP="00701D76">
      <w:pPr>
        <w:pStyle w:val="a3"/>
        <w:jc w:val="center"/>
        <w:rPr>
          <w:rFonts w:ascii="Times New Roman" w:hAnsi="Times New Roman"/>
          <w:b/>
          <w:sz w:val="28"/>
          <w:szCs w:val="28"/>
          <w:lang w:val="kk-KZ"/>
        </w:rPr>
      </w:pPr>
      <w:r>
        <w:rPr>
          <w:rFonts w:ascii="Times New Roman" w:hAnsi="Times New Roman"/>
          <w:b/>
          <w:sz w:val="28"/>
          <w:szCs w:val="28"/>
          <w:lang w:val="kk-KZ"/>
        </w:rPr>
        <w:t>Зейнетақы жинақтарының жай-күйі туралы ақпарат беру қызметі көрсетілетін 60 мемлекеттік қызметтің ішінде үздіктердің бірі болып танылды</w:t>
      </w:r>
    </w:p>
    <w:p w14:paraId="52BA05BA" w14:textId="77777777" w:rsidR="00DF1F45" w:rsidRPr="00DF1F45" w:rsidRDefault="00DF1F45" w:rsidP="00DF1F45">
      <w:pPr>
        <w:pStyle w:val="a3"/>
        <w:jc w:val="center"/>
        <w:rPr>
          <w:rFonts w:ascii="Times New Roman" w:hAnsi="Times New Roman"/>
          <w:b/>
          <w:sz w:val="28"/>
          <w:szCs w:val="28"/>
          <w:lang w:val="kk-KZ"/>
        </w:rPr>
      </w:pPr>
    </w:p>
    <w:p w14:paraId="5C24BF37" w14:textId="00FF92C4" w:rsidR="00AE23B2" w:rsidRDefault="00AE23B2" w:rsidP="008637D7">
      <w:pPr>
        <w:pStyle w:val="a3"/>
        <w:ind w:firstLine="708"/>
        <w:jc w:val="both"/>
        <w:rPr>
          <w:rFonts w:ascii="Times New Roman" w:hAnsi="Times New Roman"/>
          <w:sz w:val="28"/>
          <w:szCs w:val="28"/>
          <w:lang w:val="kk-KZ"/>
        </w:rPr>
      </w:pPr>
      <w:r w:rsidRPr="00D83999">
        <w:rPr>
          <w:rFonts w:ascii="Times New Roman" w:hAnsi="Times New Roman"/>
          <w:sz w:val="28"/>
          <w:szCs w:val="28"/>
          <w:lang w:val="kk-KZ"/>
        </w:rPr>
        <w:t xml:space="preserve">Қазақстан Республикасының Мемлекеттік қызмет істері және сыбайлас жемқорлыққа қарсы іс-қимыл агенттігінің тапсырысы бойынша </w:t>
      </w:r>
      <w:r>
        <w:rPr>
          <w:rFonts w:ascii="Times New Roman" w:hAnsi="Times New Roman"/>
          <w:sz w:val="28"/>
          <w:szCs w:val="28"/>
          <w:lang w:val="kk-KZ"/>
        </w:rPr>
        <w:t xml:space="preserve">«САНДЖ» зерттеу компаниясының </w:t>
      </w:r>
      <w:r w:rsidRPr="00D83999">
        <w:rPr>
          <w:rFonts w:ascii="Times New Roman" w:hAnsi="Times New Roman"/>
          <w:sz w:val="28"/>
          <w:szCs w:val="28"/>
          <w:lang w:val="kk-KZ"/>
        </w:rPr>
        <w:t xml:space="preserve">мемлекеттік қызметтерді көрсету сапасына </w:t>
      </w:r>
      <w:r w:rsidR="008637D7">
        <w:rPr>
          <w:rFonts w:ascii="Times New Roman" w:hAnsi="Times New Roman"/>
          <w:sz w:val="28"/>
          <w:szCs w:val="28"/>
          <w:lang w:val="kk-KZ"/>
        </w:rPr>
        <w:t xml:space="preserve">жүргізген қоғамдық </w:t>
      </w:r>
      <w:r w:rsidRPr="00D83999">
        <w:rPr>
          <w:rFonts w:ascii="Times New Roman" w:hAnsi="Times New Roman"/>
          <w:sz w:val="28"/>
          <w:szCs w:val="28"/>
          <w:lang w:val="kk-KZ"/>
        </w:rPr>
        <w:t>мониторинг</w:t>
      </w:r>
      <w:r w:rsidR="008637D7">
        <w:rPr>
          <w:rFonts w:ascii="Times New Roman" w:hAnsi="Times New Roman"/>
          <w:sz w:val="28"/>
          <w:szCs w:val="28"/>
          <w:lang w:val="kk-KZ"/>
        </w:rPr>
        <w:t xml:space="preserve"> нәтижесінде «</w:t>
      </w:r>
      <w:r>
        <w:rPr>
          <w:rFonts w:ascii="Times New Roman" w:hAnsi="Times New Roman"/>
          <w:sz w:val="28"/>
          <w:szCs w:val="28"/>
          <w:lang w:val="kk-KZ"/>
        </w:rPr>
        <w:t>Бірыңғай жинақтаушы зейнетақы қоры салымшысының (алушысының) зейнетақы жинақтарының (инвестициялық кірістерін ескере отырып) жай-күйі туралы ақпарат беру» қызметі</w:t>
      </w:r>
      <w:r w:rsidR="008637D7">
        <w:rPr>
          <w:rFonts w:ascii="Times New Roman" w:hAnsi="Times New Roman"/>
          <w:sz w:val="28"/>
          <w:szCs w:val="28"/>
          <w:lang w:val="kk-KZ"/>
        </w:rPr>
        <w:t xml:space="preserve"> үздік бестіктің қатарына енді. </w:t>
      </w:r>
      <w:r>
        <w:rPr>
          <w:rFonts w:ascii="Times New Roman" w:hAnsi="Times New Roman"/>
          <w:sz w:val="28"/>
          <w:szCs w:val="28"/>
          <w:lang w:val="kk-KZ"/>
        </w:rPr>
        <w:t xml:space="preserve">  </w:t>
      </w:r>
    </w:p>
    <w:p w14:paraId="44BD14B4" w14:textId="314797FF" w:rsidR="00E63C2F" w:rsidRDefault="00081E4B" w:rsidP="00081E4B">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Мемлекеттік қызметтердің көрсетілу сапасына қатысты қоғамдық мониторинг </w:t>
      </w:r>
      <w:r w:rsidR="00D83999" w:rsidRPr="00D83999">
        <w:rPr>
          <w:rFonts w:ascii="Times New Roman" w:hAnsi="Times New Roman"/>
          <w:sz w:val="28"/>
          <w:szCs w:val="28"/>
          <w:lang w:val="kk-KZ"/>
        </w:rPr>
        <w:t xml:space="preserve">2018 жылдың тамыз-қазан айлары аралығында </w:t>
      </w:r>
      <w:r>
        <w:rPr>
          <w:rFonts w:ascii="Times New Roman" w:hAnsi="Times New Roman"/>
          <w:sz w:val="28"/>
          <w:szCs w:val="28"/>
          <w:lang w:val="kk-KZ"/>
        </w:rPr>
        <w:t xml:space="preserve">өткізілді. </w:t>
      </w:r>
      <w:r w:rsidR="00BB1A17">
        <w:rPr>
          <w:rFonts w:ascii="Times New Roman" w:hAnsi="Times New Roman"/>
          <w:sz w:val="28"/>
          <w:szCs w:val="28"/>
          <w:lang w:val="kk-KZ"/>
        </w:rPr>
        <w:t>З</w:t>
      </w:r>
      <w:r w:rsidR="00F070F7">
        <w:rPr>
          <w:rFonts w:ascii="Times New Roman" w:hAnsi="Times New Roman"/>
          <w:sz w:val="28"/>
          <w:szCs w:val="28"/>
          <w:lang w:val="kk-KZ"/>
        </w:rPr>
        <w:t xml:space="preserve">ерттеу </w:t>
      </w:r>
      <w:r w:rsidR="00BB1A17">
        <w:rPr>
          <w:rFonts w:ascii="Times New Roman" w:hAnsi="Times New Roman"/>
          <w:sz w:val="28"/>
          <w:szCs w:val="28"/>
          <w:lang w:val="kk-KZ"/>
        </w:rPr>
        <w:t xml:space="preserve">барысында Қазақстанның барлық өңірлерінде 10 000 қызмет алушы арасында сауалнамалық сұрау жүргізілді. Бұл ретте </w:t>
      </w:r>
      <w:r w:rsidR="00FE246E">
        <w:rPr>
          <w:rFonts w:ascii="Times New Roman" w:hAnsi="Times New Roman"/>
          <w:sz w:val="28"/>
          <w:szCs w:val="28"/>
          <w:lang w:val="kk-KZ"/>
        </w:rPr>
        <w:t xml:space="preserve">көрсетілетін </w:t>
      </w:r>
      <w:r w:rsidR="00F070F7">
        <w:rPr>
          <w:rFonts w:ascii="Times New Roman" w:hAnsi="Times New Roman"/>
          <w:sz w:val="28"/>
          <w:szCs w:val="28"/>
          <w:lang w:val="kk-KZ"/>
        </w:rPr>
        <w:t>60 мемлекеттік қызмет</w:t>
      </w:r>
      <w:r>
        <w:rPr>
          <w:rFonts w:ascii="Times New Roman" w:hAnsi="Times New Roman"/>
          <w:sz w:val="28"/>
          <w:szCs w:val="28"/>
          <w:lang w:val="kk-KZ"/>
        </w:rPr>
        <w:t xml:space="preserve"> </w:t>
      </w:r>
      <w:r w:rsidR="00E63C2F">
        <w:rPr>
          <w:rFonts w:ascii="Times New Roman" w:hAnsi="Times New Roman"/>
          <w:sz w:val="28"/>
          <w:szCs w:val="28"/>
          <w:lang w:val="kk-KZ"/>
        </w:rPr>
        <w:t xml:space="preserve"> </w:t>
      </w:r>
      <w:r w:rsidR="00FE246E">
        <w:rPr>
          <w:rFonts w:ascii="Times New Roman" w:hAnsi="Times New Roman"/>
          <w:sz w:val="28"/>
          <w:szCs w:val="28"/>
          <w:lang w:val="kk-KZ"/>
        </w:rPr>
        <w:t xml:space="preserve">негізге алынды. </w:t>
      </w:r>
    </w:p>
    <w:p w14:paraId="6386B3F7" w14:textId="20CAE377" w:rsidR="002E6FCC" w:rsidRPr="00A047CF" w:rsidRDefault="002E6FCC" w:rsidP="000965A1">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Мониторинг аясында </w:t>
      </w:r>
      <w:r w:rsidR="00A047CF">
        <w:rPr>
          <w:rFonts w:ascii="Times New Roman" w:hAnsi="Times New Roman"/>
          <w:sz w:val="28"/>
          <w:szCs w:val="28"/>
          <w:lang w:val="kk-KZ"/>
        </w:rPr>
        <w:t>қызмет алушылар арасында сауалнамалық сұрау жүргізі</w:t>
      </w:r>
      <w:r w:rsidR="00FE7341">
        <w:rPr>
          <w:rFonts w:ascii="Times New Roman" w:hAnsi="Times New Roman"/>
          <w:sz w:val="28"/>
          <w:szCs w:val="28"/>
          <w:lang w:val="kk-KZ"/>
        </w:rPr>
        <w:t>ліп</w:t>
      </w:r>
      <w:r w:rsidR="00A047CF">
        <w:rPr>
          <w:rFonts w:ascii="Times New Roman" w:hAnsi="Times New Roman"/>
          <w:sz w:val="28"/>
          <w:szCs w:val="28"/>
          <w:lang w:val="kk-KZ"/>
        </w:rPr>
        <w:t>, қызмет көрсетуші мен қызмет алушылардан тиянақты сұхбаттар ал</w:t>
      </w:r>
      <w:r w:rsidR="00FE7341">
        <w:rPr>
          <w:rFonts w:ascii="Times New Roman" w:hAnsi="Times New Roman"/>
          <w:sz w:val="28"/>
          <w:szCs w:val="28"/>
          <w:lang w:val="kk-KZ"/>
        </w:rPr>
        <w:t>ынды.</w:t>
      </w:r>
      <w:r w:rsidR="00A047CF">
        <w:rPr>
          <w:rFonts w:ascii="Times New Roman" w:hAnsi="Times New Roman"/>
          <w:sz w:val="28"/>
          <w:szCs w:val="28"/>
          <w:lang w:val="kk-KZ"/>
        </w:rPr>
        <w:t xml:space="preserve"> </w:t>
      </w:r>
      <w:r w:rsidR="00FE246E">
        <w:rPr>
          <w:rFonts w:ascii="Times New Roman" w:hAnsi="Times New Roman"/>
          <w:sz w:val="28"/>
          <w:szCs w:val="28"/>
          <w:lang w:val="kk-KZ"/>
        </w:rPr>
        <w:t>Сонымен қатар «</w:t>
      </w:r>
      <w:r w:rsidR="00A047CF">
        <w:rPr>
          <w:rFonts w:ascii="Times New Roman" w:hAnsi="Times New Roman"/>
          <w:sz w:val="28"/>
          <w:szCs w:val="28"/>
          <w:lang w:val="kk-KZ"/>
        </w:rPr>
        <w:t xml:space="preserve">Құпия сатып алушы» әдісі бойынша бақылау жүргізіліп, бірқатар фокус-топтық талқылаулар ұйымдастырылды. </w:t>
      </w:r>
    </w:p>
    <w:p w14:paraId="19B07E9F" w14:textId="70781C7C" w:rsidR="00951C9F" w:rsidRDefault="00951C9F" w:rsidP="000965A1">
      <w:pPr>
        <w:pStyle w:val="a3"/>
        <w:ind w:firstLine="708"/>
        <w:jc w:val="both"/>
        <w:rPr>
          <w:rFonts w:ascii="Times New Roman" w:hAnsi="Times New Roman"/>
          <w:sz w:val="28"/>
          <w:szCs w:val="28"/>
          <w:lang w:val="kk-KZ"/>
        </w:rPr>
      </w:pPr>
      <w:r w:rsidRPr="00FE246E">
        <w:rPr>
          <w:rFonts w:ascii="Times New Roman" w:hAnsi="Times New Roman"/>
          <w:sz w:val="28"/>
          <w:szCs w:val="28"/>
          <w:lang w:val="kk-KZ"/>
        </w:rPr>
        <w:t>Зерттеу</w:t>
      </w:r>
      <w:r>
        <w:rPr>
          <w:rFonts w:ascii="Times New Roman" w:hAnsi="Times New Roman"/>
          <w:sz w:val="28"/>
          <w:szCs w:val="28"/>
          <w:lang w:val="kk-KZ"/>
        </w:rPr>
        <w:t xml:space="preserve"> жүргізудегі мақсат – қызмет алушылардың көрсетілетін қызметтердің сапасына қанағаттанушылық деңгейін бағалау. Бұл ретте ақпараттың қолжетімділігі, қызмет көрсету мерзімінің сақталуы, қызмет көрсету </w:t>
      </w:r>
      <w:r w:rsidR="00FE246E">
        <w:rPr>
          <w:rFonts w:ascii="Times New Roman" w:hAnsi="Times New Roman"/>
          <w:sz w:val="28"/>
          <w:szCs w:val="28"/>
          <w:lang w:val="kk-KZ"/>
        </w:rPr>
        <w:t xml:space="preserve">деңгейі </w:t>
      </w:r>
      <w:r>
        <w:rPr>
          <w:rFonts w:ascii="Times New Roman" w:hAnsi="Times New Roman"/>
          <w:sz w:val="28"/>
          <w:szCs w:val="28"/>
          <w:lang w:val="kk-KZ"/>
        </w:rPr>
        <w:t xml:space="preserve">(сыпайылық, біліктілік, </w:t>
      </w:r>
      <w:r w:rsidR="005521F6">
        <w:rPr>
          <w:rFonts w:ascii="Times New Roman" w:hAnsi="Times New Roman"/>
          <w:sz w:val="28"/>
          <w:szCs w:val="28"/>
          <w:lang w:val="kk-KZ"/>
        </w:rPr>
        <w:t xml:space="preserve">қызметкерлердің шапшаңдығы), құжаттардың дұрыс рәсімделуі, </w:t>
      </w:r>
      <w:r w:rsidR="006609E5">
        <w:rPr>
          <w:rFonts w:ascii="Times New Roman" w:hAnsi="Times New Roman"/>
          <w:sz w:val="28"/>
          <w:szCs w:val="28"/>
          <w:lang w:val="kk-KZ"/>
        </w:rPr>
        <w:t>шарттардың ыңғайлылығы</w:t>
      </w:r>
      <w:r w:rsidR="005521F6">
        <w:rPr>
          <w:rFonts w:ascii="Times New Roman" w:hAnsi="Times New Roman"/>
          <w:sz w:val="28"/>
          <w:szCs w:val="28"/>
          <w:lang w:val="kk-KZ"/>
        </w:rPr>
        <w:t xml:space="preserve"> ескерілді.  </w:t>
      </w:r>
    </w:p>
    <w:p w14:paraId="4AA92508" w14:textId="1F29ACA3" w:rsidR="008B1F30" w:rsidRDefault="000965A1" w:rsidP="000B46E1">
      <w:pPr>
        <w:pStyle w:val="a3"/>
        <w:ind w:firstLine="708"/>
        <w:jc w:val="both"/>
        <w:rPr>
          <w:rFonts w:ascii="Times New Roman" w:hAnsi="Times New Roman"/>
          <w:sz w:val="28"/>
          <w:szCs w:val="28"/>
          <w:lang w:val="kk-KZ"/>
        </w:rPr>
      </w:pPr>
      <w:r>
        <w:rPr>
          <w:rFonts w:ascii="Times New Roman" w:hAnsi="Times New Roman"/>
          <w:sz w:val="28"/>
          <w:szCs w:val="28"/>
          <w:lang w:val="kk-KZ"/>
        </w:rPr>
        <w:t>Зерттеу қорытындысы бойынша БЖЗҚ салымшысының (алушысының) зейнетақы жинақтарының жай-күйі туралы ақпарат беру қызметіне баға беру</w:t>
      </w:r>
      <w:r w:rsidR="001E5650">
        <w:rPr>
          <w:rFonts w:ascii="Times New Roman" w:hAnsi="Times New Roman"/>
          <w:sz w:val="28"/>
          <w:szCs w:val="28"/>
          <w:lang w:val="kk-KZ"/>
        </w:rPr>
        <w:t xml:space="preserve"> барысы </w:t>
      </w:r>
      <w:r>
        <w:rPr>
          <w:rFonts w:ascii="Times New Roman" w:hAnsi="Times New Roman"/>
          <w:sz w:val="28"/>
          <w:szCs w:val="28"/>
          <w:lang w:val="kk-KZ"/>
        </w:rPr>
        <w:t xml:space="preserve">ақпараттың сапасы мен қолжетімділігі, жеделдігі мен құзыреттілігі бойынша жоғары нәтижелер көрсетті: </w:t>
      </w:r>
      <w:r w:rsidR="006609E5">
        <w:rPr>
          <w:rFonts w:ascii="Times New Roman" w:hAnsi="Times New Roman"/>
          <w:sz w:val="28"/>
          <w:szCs w:val="28"/>
          <w:lang w:val="kk-KZ"/>
        </w:rPr>
        <w:t>с</w:t>
      </w:r>
      <w:r w:rsidR="00F50DC8">
        <w:rPr>
          <w:rFonts w:ascii="Times New Roman" w:hAnsi="Times New Roman"/>
          <w:sz w:val="28"/>
          <w:szCs w:val="28"/>
          <w:lang w:val="kk-KZ"/>
        </w:rPr>
        <w:t xml:space="preserve">ауалнамаға жауап берушілердің 80,4 пайызы қызметтер бойынша ақпараттың ашықтығына және қолжетімділігіне риза. Бұл ретте </w:t>
      </w:r>
      <w:r w:rsidR="0099562E">
        <w:rPr>
          <w:rFonts w:ascii="Times New Roman" w:hAnsi="Times New Roman"/>
          <w:sz w:val="28"/>
          <w:szCs w:val="28"/>
          <w:lang w:val="kk-KZ"/>
        </w:rPr>
        <w:t xml:space="preserve">жауап берушілердің 82,9 пайызының пікірінше ақпараттар ашық және </w:t>
      </w:r>
      <w:r w:rsidR="008B1F30">
        <w:rPr>
          <w:rFonts w:ascii="Times New Roman" w:hAnsi="Times New Roman"/>
          <w:sz w:val="28"/>
          <w:szCs w:val="28"/>
          <w:lang w:val="kk-KZ"/>
        </w:rPr>
        <w:t>шынайы</w:t>
      </w:r>
      <w:r w:rsidR="006609E5">
        <w:rPr>
          <w:rFonts w:ascii="Times New Roman" w:hAnsi="Times New Roman"/>
          <w:sz w:val="28"/>
          <w:szCs w:val="28"/>
          <w:lang w:val="kk-KZ"/>
        </w:rPr>
        <w:t>.</w:t>
      </w:r>
      <w:r w:rsidR="008B1F30">
        <w:rPr>
          <w:rFonts w:ascii="Times New Roman" w:hAnsi="Times New Roman"/>
          <w:sz w:val="28"/>
          <w:szCs w:val="28"/>
          <w:lang w:val="kk-KZ"/>
        </w:rPr>
        <w:t xml:space="preserve"> </w:t>
      </w:r>
      <w:r w:rsidR="006609E5">
        <w:rPr>
          <w:rFonts w:ascii="Times New Roman" w:hAnsi="Times New Roman"/>
          <w:sz w:val="28"/>
          <w:szCs w:val="28"/>
          <w:lang w:val="kk-KZ"/>
        </w:rPr>
        <w:t>Ж</w:t>
      </w:r>
      <w:r w:rsidR="0099562E">
        <w:rPr>
          <w:rFonts w:ascii="Times New Roman" w:hAnsi="Times New Roman"/>
          <w:sz w:val="28"/>
          <w:szCs w:val="28"/>
          <w:lang w:val="kk-KZ"/>
        </w:rPr>
        <w:t>ауап берушілердің 88,3 пайызы</w:t>
      </w:r>
      <w:r w:rsidR="001E5650">
        <w:rPr>
          <w:rFonts w:ascii="Times New Roman" w:hAnsi="Times New Roman"/>
          <w:sz w:val="28"/>
          <w:szCs w:val="28"/>
          <w:lang w:val="kk-KZ"/>
        </w:rPr>
        <w:t>ның</w:t>
      </w:r>
      <w:r w:rsidR="0099562E">
        <w:rPr>
          <w:rFonts w:ascii="Times New Roman" w:hAnsi="Times New Roman"/>
          <w:sz w:val="28"/>
          <w:szCs w:val="28"/>
          <w:lang w:val="kk-KZ"/>
        </w:rPr>
        <w:t xml:space="preserve"> </w:t>
      </w:r>
      <w:r w:rsidR="008B1F30">
        <w:rPr>
          <w:rFonts w:ascii="Times New Roman" w:hAnsi="Times New Roman"/>
          <w:sz w:val="28"/>
          <w:szCs w:val="28"/>
          <w:lang w:val="kk-KZ"/>
        </w:rPr>
        <w:t xml:space="preserve">қызметтердің </w:t>
      </w:r>
      <w:r w:rsidR="0099562E">
        <w:rPr>
          <w:rFonts w:ascii="Times New Roman" w:hAnsi="Times New Roman"/>
          <w:sz w:val="28"/>
          <w:szCs w:val="28"/>
          <w:lang w:val="kk-KZ"/>
        </w:rPr>
        <w:t>көрсетіл</w:t>
      </w:r>
      <w:r w:rsidR="008B1F30">
        <w:rPr>
          <w:rFonts w:ascii="Times New Roman" w:hAnsi="Times New Roman"/>
          <w:sz w:val="28"/>
          <w:szCs w:val="28"/>
          <w:lang w:val="kk-KZ"/>
        </w:rPr>
        <w:t>у мерзіміне және 92,1 пайызы</w:t>
      </w:r>
      <w:r w:rsidR="001E5650">
        <w:rPr>
          <w:rFonts w:ascii="Times New Roman" w:hAnsi="Times New Roman"/>
          <w:sz w:val="28"/>
          <w:szCs w:val="28"/>
          <w:lang w:val="kk-KZ"/>
        </w:rPr>
        <w:t>ның</w:t>
      </w:r>
      <w:r w:rsidR="008B1F30">
        <w:rPr>
          <w:rFonts w:ascii="Times New Roman" w:hAnsi="Times New Roman"/>
          <w:sz w:val="28"/>
          <w:szCs w:val="28"/>
          <w:lang w:val="kk-KZ"/>
        </w:rPr>
        <w:t xml:space="preserve"> құжаттардың жиналу және әзірлеу мерзіміне </w:t>
      </w:r>
      <w:r w:rsidR="001E5650">
        <w:rPr>
          <w:rFonts w:ascii="Times New Roman" w:hAnsi="Times New Roman"/>
          <w:sz w:val="28"/>
          <w:szCs w:val="28"/>
          <w:lang w:val="kk-KZ"/>
        </w:rPr>
        <w:t xml:space="preserve">көңілдері толады. </w:t>
      </w:r>
      <w:r w:rsidR="008B1F30">
        <w:rPr>
          <w:rFonts w:ascii="Times New Roman" w:hAnsi="Times New Roman"/>
          <w:sz w:val="28"/>
          <w:szCs w:val="28"/>
          <w:lang w:val="kk-KZ"/>
        </w:rPr>
        <w:t xml:space="preserve"> </w:t>
      </w:r>
    </w:p>
    <w:p w14:paraId="215A7988" w14:textId="40690D07" w:rsidR="008B1F30" w:rsidRDefault="008B1F30" w:rsidP="000B46E1">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Сауалнамаға қатысушылардың 79,8 пайызы </w:t>
      </w:r>
      <w:r w:rsidR="000B46E1">
        <w:rPr>
          <w:rFonts w:ascii="Times New Roman" w:hAnsi="Times New Roman"/>
          <w:sz w:val="28"/>
          <w:szCs w:val="28"/>
          <w:lang w:val="kk-KZ"/>
        </w:rPr>
        <w:t xml:space="preserve">қызмет көрсетушінің </w:t>
      </w:r>
      <w:r>
        <w:rPr>
          <w:rFonts w:ascii="Times New Roman" w:hAnsi="Times New Roman"/>
          <w:sz w:val="28"/>
          <w:szCs w:val="28"/>
          <w:lang w:val="kk-KZ"/>
        </w:rPr>
        <w:t>мамандарының біліктілігін жоғары бағаласа, 80,7 пайызы үшін қызметкерлердің сыпайылығы, әдептілігі</w:t>
      </w:r>
      <w:r w:rsidR="007C6844">
        <w:rPr>
          <w:rFonts w:ascii="Times New Roman" w:hAnsi="Times New Roman"/>
          <w:sz w:val="28"/>
          <w:szCs w:val="28"/>
          <w:lang w:val="kk-KZ"/>
        </w:rPr>
        <w:t xml:space="preserve"> қанағаттанарлық деңгейде болды. </w:t>
      </w:r>
      <w:r w:rsidR="007C6844">
        <w:rPr>
          <w:rFonts w:ascii="Times New Roman" w:hAnsi="Times New Roman"/>
          <w:sz w:val="28"/>
          <w:szCs w:val="28"/>
          <w:lang w:val="kk-KZ"/>
        </w:rPr>
        <w:lastRenderedPageBreak/>
        <w:t xml:space="preserve">Сонымен қатар қызметкерлерінің шапшаңдығын </w:t>
      </w:r>
      <w:r w:rsidR="001E5650">
        <w:rPr>
          <w:rFonts w:ascii="Times New Roman" w:hAnsi="Times New Roman"/>
          <w:sz w:val="28"/>
          <w:szCs w:val="28"/>
          <w:lang w:val="kk-KZ"/>
        </w:rPr>
        <w:t xml:space="preserve">сауалнамаға жауап берушілердің </w:t>
      </w:r>
      <w:r w:rsidR="007C6844">
        <w:rPr>
          <w:rFonts w:ascii="Times New Roman" w:hAnsi="Times New Roman"/>
          <w:sz w:val="28"/>
          <w:szCs w:val="28"/>
          <w:lang w:val="kk-KZ"/>
        </w:rPr>
        <w:t xml:space="preserve">81,3 пайызы атап өтсе, 80,4  пайызы қызмет көрсетушіге сенеді.  </w:t>
      </w:r>
      <w:r>
        <w:rPr>
          <w:rFonts w:ascii="Times New Roman" w:hAnsi="Times New Roman"/>
          <w:sz w:val="28"/>
          <w:szCs w:val="28"/>
          <w:lang w:val="kk-KZ"/>
        </w:rPr>
        <w:t xml:space="preserve">  </w:t>
      </w:r>
    </w:p>
    <w:p w14:paraId="4814B6C9" w14:textId="2541F655" w:rsidR="007C6844" w:rsidRDefault="007C6844" w:rsidP="00701D7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қызметтерді барынша әділ бағалау үшін «Құпия сатып алушы» әдісі де қолданылды. </w:t>
      </w:r>
      <w:r w:rsidR="00581855" w:rsidRPr="008B1F30">
        <w:rPr>
          <w:rFonts w:ascii="Times New Roman" w:hAnsi="Times New Roman"/>
          <w:sz w:val="28"/>
          <w:szCs w:val="28"/>
          <w:lang w:val="kk-KZ"/>
        </w:rPr>
        <w:t xml:space="preserve"> </w:t>
      </w:r>
      <w:r>
        <w:rPr>
          <w:rFonts w:ascii="Times New Roman" w:hAnsi="Times New Roman"/>
          <w:sz w:val="28"/>
          <w:szCs w:val="28"/>
          <w:lang w:val="kk-KZ"/>
        </w:rPr>
        <w:t xml:space="preserve">Ол БЖЗҚ филиалында және Астана қаласында Халыққа қызмет көрсету орталықтарының бірінде жүзеге асырылды. </w:t>
      </w:r>
      <w:r w:rsidR="00F311E5">
        <w:rPr>
          <w:rFonts w:ascii="Times New Roman" w:hAnsi="Times New Roman"/>
          <w:sz w:val="28"/>
          <w:szCs w:val="28"/>
          <w:lang w:val="kk-KZ"/>
        </w:rPr>
        <w:t xml:space="preserve">Құпия сатып алушы көрсетілетін қызметтердің сапасын </w:t>
      </w:r>
      <w:r w:rsidR="0016173D">
        <w:rPr>
          <w:rFonts w:ascii="Times New Roman" w:hAnsi="Times New Roman"/>
          <w:sz w:val="28"/>
          <w:szCs w:val="28"/>
          <w:lang w:val="kk-KZ"/>
        </w:rPr>
        <w:t xml:space="preserve">үш өлшем бойынша бағалауы тиіс болды. Олар: </w:t>
      </w:r>
      <w:r w:rsidR="0016173D" w:rsidRPr="0016173D">
        <w:rPr>
          <w:rFonts w:ascii="Times New Roman" w:hAnsi="Times New Roman"/>
          <w:sz w:val="28"/>
          <w:szCs w:val="28"/>
          <w:lang w:val="kk-KZ"/>
        </w:rPr>
        <w:t>1)</w:t>
      </w:r>
      <w:r w:rsidR="0016173D">
        <w:rPr>
          <w:rFonts w:ascii="Times New Roman" w:hAnsi="Times New Roman"/>
          <w:sz w:val="28"/>
          <w:szCs w:val="28"/>
          <w:lang w:val="kk-KZ"/>
        </w:rPr>
        <w:t xml:space="preserve"> ақпаратты сайттан іздеу</w:t>
      </w:r>
      <w:r w:rsidR="00500970">
        <w:rPr>
          <w:rFonts w:ascii="Times New Roman" w:hAnsi="Times New Roman"/>
          <w:sz w:val="28"/>
          <w:szCs w:val="28"/>
          <w:lang w:val="kk-KZ"/>
        </w:rPr>
        <w:t xml:space="preserve">, </w:t>
      </w:r>
      <w:r w:rsidR="0016173D">
        <w:rPr>
          <w:rFonts w:ascii="Times New Roman" w:hAnsi="Times New Roman"/>
          <w:sz w:val="28"/>
          <w:szCs w:val="28"/>
          <w:lang w:val="kk-KZ"/>
        </w:rPr>
        <w:t>2) ақпаратты стендтен іздеу</w:t>
      </w:r>
      <w:r w:rsidR="00500970">
        <w:rPr>
          <w:rFonts w:ascii="Times New Roman" w:hAnsi="Times New Roman"/>
          <w:sz w:val="28"/>
          <w:szCs w:val="28"/>
          <w:lang w:val="kk-KZ"/>
        </w:rPr>
        <w:t xml:space="preserve">, </w:t>
      </w:r>
      <w:r w:rsidR="0016173D">
        <w:rPr>
          <w:rFonts w:ascii="Times New Roman" w:hAnsi="Times New Roman"/>
          <w:sz w:val="28"/>
          <w:szCs w:val="28"/>
          <w:lang w:val="kk-KZ"/>
        </w:rPr>
        <w:t xml:space="preserve">3) байланыс орталығына қоңырау шалу. </w:t>
      </w:r>
      <w:r w:rsidR="0016173D" w:rsidRPr="0016173D">
        <w:rPr>
          <w:rFonts w:ascii="Times New Roman" w:hAnsi="Times New Roman"/>
          <w:sz w:val="28"/>
          <w:szCs w:val="28"/>
          <w:lang w:val="kk-KZ"/>
        </w:rPr>
        <w:t xml:space="preserve"> </w:t>
      </w:r>
      <w:r w:rsidR="0026436F" w:rsidRPr="007C6844">
        <w:rPr>
          <w:rFonts w:ascii="Times New Roman" w:hAnsi="Times New Roman"/>
          <w:sz w:val="28"/>
          <w:szCs w:val="28"/>
          <w:lang w:val="kk-KZ"/>
        </w:rPr>
        <w:t xml:space="preserve"> </w:t>
      </w:r>
    </w:p>
    <w:p w14:paraId="3D5D6FEB" w14:textId="4CC76DBD" w:rsidR="0016173D" w:rsidRDefault="0016173D" w:rsidP="00500970">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Құпия сатып алушы БЖЗҚ-ның </w:t>
      </w:r>
      <w:hyperlink r:id="rId7" w:history="1">
        <w:r w:rsidRPr="0016173D">
          <w:rPr>
            <w:rFonts w:ascii="Times New Roman" w:hAnsi="Times New Roman"/>
            <w:color w:val="0563C1" w:themeColor="hyperlink"/>
            <w:sz w:val="28"/>
            <w:szCs w:val="28"/>
            <w:u w:val="single"/>
            <w:lang w:val="kk-KZ"/>
          </w:rPr>
          <w:t>https://www.enpf.kz</w:t>
        </w:r>
      </w:hyperlink>
      <w:r>
        <w:rPr>
          <w:rFonts w:ascii="Times New Roman" w:hAnsi="Times New Roman"/>
          <w:color w:val="0563C1" w:themeColor="hyperlink"/>
          <w:sz w:val="28"/>
          <w:szCs w:val="28"/>
          <w:u w:val="single"/>
          <w:lang w:val="kk-KZ"/>
        </w:rPr>
        <w:t xml:space="preserve"> </w:t>
      </w:r>
      <w:r w:rsidRPr="0016173D">
        <w:rPr>
          <w:rFonts w:ascii="Times New Roman" w:hAnsi="Times New Roman"/>
          <w:sz w:val="28"/>
          <w:szCs w:val="28"/>
          <w:lang w:val="kk-KZ"/>
        </w:rPr>
        <w:t>сайтын жоғары бағалады.</w:t>
      </w:r>
      <w:r w:rsidR="001E5650">
        <w:rPr>
          <w:rFonts w:ascii="Times New Roman" w:hAnsi="Times New Roman"/>
          <w:sz w:val="28"/>
          <w:szCs w:val="28"/>
          <w:lang w:val="kk-KZ"/>
        </w:rPr>
        <w:t xml:space="preserve"> </w:t>
      </w:r>
      <w:bookmarkStart w:id="0" w:name="_GoBack"/>
      <w:bookmarkEnd w:id="0"/>
      <w:r w:rsidR="006609E5">
        <w:rPr>
          <w:rFonts w:ascii="Times New Roman" w:hAnsi="Times New Roman"/>
          <w:sz w:val="28"/>
          <w:szCs w:val="28"/>
          <w:lang w:val="kk-KZ"/>
        </w:rPr>
        <w:t>Ол сайттың и</w:t>
      </w:r>
      <w:r w:rsidRPr="00BE546E">
        <w:rPr>
          <w:rFonts w:ascii="Times New Roman" w:hAnsi="Times New Roman"/>
          <w:sz w:val="28"/>
          <w:szCs w:val="28"/>
          <w:lang w:val="kk-KZ"/>
        </w:rPr>
        <w:t>нтерфе</w:t>
      </w:r>
      <w:r w:rsidR="006609E5">
        <w:rPr>
          <w:rFonts w:ascii="Times New Roman" w:hAnsi="Times New Roman"/>
          <w:sz w:val="28"/>
          <w:szCs w:val="28"/>
          <w:lang w:val="kk-KZ"/>
        </w:rPr>
        <w:t>й</w:t>
      </w:r>
      <w:r w:rsidRPr="00BE546E">
        <w:rPr>
          <w:rFonts w:ascii="Times New Roman" w:hAnsi="Times New Roman"/>
          <w:sz w:val="28"/>
          <w:szCs w:val="28"/>
          <w:lang w:val="kk-KZ"/>
        </w:rPr>
        <w:t>с</w:t>
      </w:r>
      <w:r w:rsidR="006609E5">
        <w:rPr>
          <w:rFonts w:ascii="Times New Roman" w:hAnsi="Times New Roman"/>
          <w:sz w:val="28"/>
          <w:szCs w:val="28"/>
          <w:lang w:val="kk-KZ"/>
        </w:rPr>
        <w:t>ін,</w:t>
      </w:r>
      <w:r w:rsidRPr="00BE546E">
        <w:rPr>
          <w:rFonts w:ascii="Times New Roman" w:hAnsi="Times New Roman"/>
          <w:sz w:val="28"/>
          <w:szCs w:val="28"/>
          <w:lang w:val="kk-KZ"/>
        </w:rPr>
        <w:t xml:space="preserve"> </w:t>
      </w:r>
      <w:r w:rsidR="006609E5">
        <w:rPr>
          <w:rFonts w:ascii="Times New Roman" w:hAnsi="Times New Roman"/>
          <w:sz w:val="28"/>
          <w:szCs w:val="28"/>
          <w:lang w:val="kk-KZ"/>
        </w:rPr>
        <w:t xml:space="preserve">онда </w:t>
      </w:r>
      <w:r w:rsidRPr="00BE546E">
        <w:rPr>
          <w:rFonts w:ascii="Times New Roman" w:hAnsi="Times New Roman"/>
          <w:sz w:val="28"/>
          <w:szCs w:val="28"/>
          <w:lang w:val="kk-KZ"/>
        </w:rPr>
        <w:t>байланыс орталығының телефон нөмірі</w:t>
      </w:r>
      <w:r w:rsidR="006609E5">
        <w:rPr>
          <w:rFonts w:ascii="Times New Roman" w:hAnsi="Times New Roman"/>
          <w:sz w:val="28"/>
          <w:szCs w:val="28"/>
          <w:lang w:val="kk-KZ"/>
        </w:rPr>
        <w:t xml:space="preserve"> </w:t>
      </w:r>
      <w:r w:rsidRPr="00BE546E">
        <w:rPr>
          <w:rFonts w:ascii="Times New Roman" w:hAnsi="Times New Roman"/>
          <w:sz w:val="28"/>
          <w:szCs w:val="28"/>
          <w:lang w:val="kk-KZ"/>
        </w:rPr>
        <w:t xml:space="preserve">бар екендігін, бір </w:t>
      </w:r>
      <w:r w:rsidR="006609E5">
        <w:rPr>
          <w:rFonts w:ascii="Times New Roman" w:hAnsi="Times New Roman"/>
          <w:sz w:val="28"/>
          <w:szCs w:val="28"/>
          <w:lang w:val="kk-KZ"/>
        </w:rPr>
        <w:t xml:space="preserve">бөлімнен </w:t>
      </w:r>
      <w:r w:rsidRPr="00BE546E">
        <w:rPr>
          <w:rFonts w:ascii="Times New Roman" w:hAnsi="Times New Roman"/>
          <w:sz w:val="28"/>
          <w:szCs w:val="28"/>
          <w:lang w:val="kk-KZ"/>
        </w:rPr>
        <w:t xml:space="preserve">екінші </w:t>
      </w:r>
      <w:r w:rsidR="006609E5">
        <w:rPr>
          <w:rFonts w:ascii="Times New Roman" w:hAnsi="Times New Roman"/>
          <w:sz w:val="28"/>
          <w:szCs w:val="28"/>
          <w:lang w:val="kk-KZ"/>
        </w:rPr>
        <w:t xml:space="preserve">бөлімге </w:t>
      </w:r>
      <w:r w:rsidRPr="00BE546E">
        <w:rPr>
          <w:rFonts w:ascii="Times New Roman" w:hAnsi="Times New Roman"/>
          <w:sz w:val="28"/>
          <w:szCs w:val="28"/>
          <w:lang w:val="kk-KZ"/>
        </w:rPr>
        <w:t>тез ауысу</w:t>
      </w:r>
      <w:r w:rsidR="006609E5">
        <w:rPr>
          <w:rFonts w:ascii="Times New Roman" w:hAnsi="Times New Roman"/>
          <w:sz w:val="28"/>
          <w:szCs w:val="28"/>
          <w:lang w:val="kk-KZ"/>
        </w:rPr>
        <w:t xml:space="preserve">ға болатындығын </w:t>
      </w:r>
      <w:r w:rsidRPr="00BE546E">
        <w:rPr>
          <w:rFonts w:ascii="Times New Roman" w:hAnsi="Times New Roman"/>
          <w:sz w:val="28"/>
          <w:szCs w:val="28"/>
          <w:lang w:val="kk-KZ"/>
        </w:rPr>
        <w:t xml:space="preserve">және ақпараттардың орыс және қазақ тілдерінде қолжетімді екендігін атап өтті. </w:t>
      </w:r>
      <w:r w:rsidR="00AB01E2">
        <w:rPr>
          <w:rFonts w:ascii="Times New Roman" w:hAnsi="Times New Roman"/>
          <w:sz w:val="28"/>
          <w:szCs w:val="28"/>
          <w:lang w:val="kk-KZ"/>
        </w:rPr>
        <w:t>Қордың байланыс орталығы жұмысының сапасына да жоғары балл берілді. Өйткені</w:t>
      </w:r>
      <w:r w:rsidR="001E5650">
        <w:rPr>
          <w:rFonts w:ascii="Times New Roman" w:hAnsi="Times New Roman"/>
          <w:sz w:val="28"/>
          <w:szCs w:val="28"/>
          <w:lang w:val="kk-KZ"/>
        </w:rPr>
        <w:t>,</w:t>
      </w:r>
      <w:r w:rsidR="00AB01E2">
        <w:rPr>
          <w:rFonts w:ascii="Times New Roman" w:hAnsi="Times New Roman"/>
          <w:sz w:val="28"/>
          <w:szCs w:val="28"/>
          <w:lang w:val="kk-KZ"/>
        </w:rPr>
        <w:t xml:space="preserve"> Қор маманы байланысқа тез шығып, қойылған сұрақтар</w:t>
      </w:r>
      <w:r w:rsidR="00500970">
        <w:rPr>
          <w:rFonts w:ascii="Times New Roman" w:hAnsi="Times New Roman"/>
          <w:sz w:val="28"/>
          <w:szCs w:val="28"/>
          <w:lang w:val="kk-KZ"/>
        </w:rPr>
        <w:t xml:space="preserve">дың барлығына </w:t>
      </w:r>
      <w:r w:rsidR="00AB01E2">
        <w:rPr>
          <w:rFonts w:ascii="Times New Roman" w:hAnsi="Times New Roman"/>
          <w:sz w:val="28"/>
          <w:szCs w:val="28"/>
          <w:lang w:val="kk-KZ"/>
        </w:rPr>
        <w:t xml:space="preserve">нақты және толыққанды жауап берген. </w:t>
      </w:r>
    </w:p>
    <w:p w14:paraId="64D36CBB" w14:textId="3121BF93" w:rsidR="00AB01E2" w:rsidRPr="00AB01E2" w:rsidRDefault="00AB01E2" w:rsidP="0039267B">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БЖЗҚ-ның Астана қаласындағы филиалына барған кезде де қызмет көрсетуші қызметкерлердің жұмысына Құпия сатып алушының көңілі толды.   </w:t>
      </w:r>
    </w:p>
    <w:p w14:paraId="592A19BD" w14:textId="519A80DE" w:rsidR="00AB01E2" w:rsidRDefault="007A4EB4" w:rsidP="00A56119">
      <w:pPr>
        <w:pStyle w:val="a3"/>
        <w:jc w:val="both"/>
        <w:rPr>
          <w:rFonts w:ascii="Times New Roman" w:hAnsi="Times New Roman"/>
          <w:i/>
          <w:sz w:val="28"/>
          <w:szCs w:val="28"/>
          <w:lang w:val="kk-KZ"/>
        </w:rPr>
      </w:pPr>
      <w:r w:rsidRPr="006609E5">
        <w:rPr>
          <w:rFonts w:ascii="Times New Roman" w:hAnsi="Times New Roman"/>
          <w:i/>
          <w:sz w:val="28"/>
          <w:szCs w:val="28"/>
          <w:lang w:val="kk-KZ"/>
        </w:rPr>
        <w:t>«</w:t>
      </w:r>
      <w:r w:rsidR="00AB01E2">
        <w:rPr>
          <w:rFonts w:ascii="Times New Roman" w:hAnsi="Times New Roman"/>
          <w:i/>
          <w:sz w:val="28"/>
          <w:szCs w:val="28"/>
          <w:lang w:val="kk-KZ"/>
        </w:rPr>
        <w:t>Операция бөлімінің қызметкері менің барлық сұрақтарыма жауап берді және тіпті зейнетақы жарналарының түсуі</w:t>
      </w:r>
      <w:r w:rsidR="006609E5">
        <w:rPr>
          <w:rFonts w:ascii="Times New Roman" w:hAnsi="Times New Roman"/>
          <w:i/>
          <w:sz w:val="28"/>
          <w:szCs w:val="28"/>
          <w:lang w:val="kk-KZ"/>
        </w:rPr>
        <w:t xml:space="preserve">не қатысты </w:t>
      </w:r>
      <w:r w:rsidR="00AB01E2">
        <w:rPr>
          <w:rFonts w:ascii="Times New Roman" w:hAnsi="Times New Roman"/>
          <w:i/>
          <w:sz w:val="28"/>
          <w:szCs w:val="28"/>
          <w:lang w:val="kk-KZ"/>
        </w:rPr>
        <w:t xml:space="preserve">ақпаратты поштама жіберуді ұсынды. Ол сонымен қатар БЖЗҚ ұялы қосымшасының бар екендігін айтып, тіркелуге көмектесті. БЖЗҚ ұялы қосымшасы мен БЖЗҚ сайтындағы Жеке кабинет өте ыңғайлы. Зейнетақы жарналарының түсуін үнемі қадағалап отыруға мүмкіндік бар». </w:t>
      </w:r>
    </w:p>
    <w:p w14:paraId="614E7CE6" w14:textId="6FE86078" w:rsidR="00AB01E2" w:rsidRDefault="00FC64FB" w:rsidP="009E4555">
      <w:pPr>
        <w:pStyle w:val="a3"/>
        <w:ind w:firstLine="708"/>
        <w:jc w:val="both"/>
        <w:rPr>
          <w:rFonts w:ascii="Times New Roman" w:hAnsi="Times New Roman"/>
          <w:sz w:val="28"/>
          <w:szCs w:val="28"/>
          <w:lang w:val="kk-KZ"/>
        </w:rPr>
      </w:pPr>
      <w:r>
        <w:rPr>
          <w:rFonts w:ascii="Times New Roman" w:hAnsi="Times New Roman"/>
          <w:sz w:val="28"/>
          <w:szCs w:val="28"/>
          <w:lang w:val="kk-KZ"/>
        </w:rPr>
        <w:t>Бұл зерттеудің негізгі нәтижелері тұрғындардың «БЖЗҚ» АҚ қызмет көрсету сапасына көңілдері толатындығын көрсетті. Ал бұл Қор</w:t>
      </w:r>
      <w:r w:rsidR="006609E5">
        <w:rPr>
          <w:rFonts w:ascii="Times New Roman" w:hAnsi="Times New Roman"/>
          <w:sz w:val="28"/>
          <w:szCs w:val="28"/>
          <w:lang w:val="kk-KZ"/>
        </w:rPr>
        <w:t xml:space="preserve">ды </w:t>
      </w:r>
      <w:r>
        <w:rPr>
          <w:rFonts w:ascii="Times New Roman" w:hAnsi="Times New Roman"/>
          <w:sz w:val="28"/>
          <w:szCs w:val="28"/>
          <w:lang w:val="kk-KZ"/>
        </w:rPr>
        <w:t xml:space="preserve">қызмет көрсету сапасын одан әрі жетілдіруге ынталандыра түседі.  </w:t>
      </w:r>
    </w:p>
    <w:p w14:paraId="1143B74E" w14:textId="7BE4F0E8" w:rsidR="009E4555" w:rsidRDefault="00701D76" w:rsidP="00701D7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Мониторинг нәтижесі бойынша толық есепті Қазақстан Республикасы Ұлттық Банкінің сайтынан мына сілтеме бойынша:   </w:t>
      </w:r>
      <w:hyperlink r:id="rId8" w:history="1">
        <w:r w:rsidRPr="00F54056">
          <w:rPr>
            <w:rStyle w:val="ae"/>
            <w:rFonts w:ascii="Times New Roman" w:hAnsi="Times New Roman"/>
            <w:sz w:val="28"/>
            <w:szCs w:val="28"/>
            <w:lang w:val="kk-KZ"/>
          </w:rPr>
          <w:t>https://nationalbank.kz/?docid=3525&amp;switch=kazakh</w:t>
        </w:r>
      </w:hyperlink>
      <w:r>
        <w:rPr>
          <w:rFonts w:ascii="Times New Roman" w:hAnsi="Times New Roman"/>
          <w:sz w:val="28"/>
          <w:szCs w:val="28"/>
          <w:lang w:val="kk-KZ"/>
        </w:rPr>
        <w:t xml:space="preserve"> көре аласыз. </w:t>
      </w:r>
    </w:p>
    <w:p w14:paraId="6CD039E8" w14:textId="77777777" w:rsidR="009E4555" w:rsidRDefault="009E4555" w:rsidP="00A56119">
      <w:pPr>
        <w:pStyle w:val="a3"/>
        <w:jc w:val="both"/>
        <w:rPr>
          <w:rFonts w:ascii="Times New Roman" w:hAnsi="Times New Roman"/>
          <w:sz w:val="28"/>
          <w:szCs w:val="28"/>
          <w:lang w:val="kk-KZ"/>
        </w:rPr>
      </w:pPr>
    </w:p>
    <w:p w14:paraId="2FECD33E" w14:textId="77777777" w:rsidR="00FC64FB" w:rsidRPr="00FC64FB" w:rsidRDefault="00FC64FB" w:rsidP="00FC64FB">
      <w:pPr>
        <w:pBdr>
          <w:bottom w:val="single" w:sz="4" w:space="31" w:color="FFFFFF"/>
        </w:pBd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FC64FB">
        <w:rPr>
          <w:rFonts w:ascii="Times New Roman" w:eastAsia="Times New Roman" w:hAnsi="Times New Roman" w:cs="Times New Roman"/>
          <w:b/>
          <w:i/>
          <w:color w:val="000000"/>
          <w:sz w:val="24"/>
          <w:szCs w:val="24"/>
          <w:lang w:val="kk-KZ" w:eastAsia="ru-RU" w:bidi="hi-IN"/>
        </w:rPr>
        <w:t xml:space="preserve">БЖЗҚ </w:t>
      </w:r>
      <w:r w:rsidRPr="00FC64FB">
        <w:rPr>
          <w:rFonts w:ascii="Times New Roman" w:eastAsia="Times New Roman" w:hAnsi="Times New Roman" w:cs="Times New Roman"/>
          <w:i/>
          <w:color w:val="000000"/>
          <w:sz w:val="24"/>
          <w:szCs w:val="24"/>
          <w:lang w:val="kk-KZ" w:eastAsia="ru-RU" w:bidi="hi-IN"/>
        </w:rPr>
        <w:t xml:space="preserve">2013 жылғы 22 тамызда «ГНПФ» ЖЗҚ» АҚ негізінде құрылды. БЖЗҚ құрылтайшысы және </w:t>
      </w:r>
      <w:r w:rsidRPr="00FC64FB">
        <w:rPr>
          <w:rFonts w:ascii="Times New Roman" w:eastAsia="Times New Roman"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9" w:history="1">
        <w:r w:rsidRPr="00FC64FB">
          <w:rPr>
            <w:rFonts w:ascii="Times New Roman" w:eastAsia="Times New Roman" w:hAnsi="Times New Roman" w:cs="Times New Roman"/>
            <w:i/>
            <w:color w:val="001CAC"/>
            <w:sz w:val="24"/>
            <w:szCs w:val="24"/>
            <w:lang w:val="kk-KZ" w:eastAsia="ru-RU" w:bidi="hi-IN"/>
          </w:rPr>
          <w:t>www.enpf.kz</w:t>
        </w:r>
      </w:hyperlink>
      <w:r w:rsidRPr="00FC64FB">
        <w:rPr>
          <w:rFonts w:ascii="Times New Roman" w:eastAsia="Times New Roman" w:hAnsi="Times New Roman" w:cs="Times New Roman"/>
          <w:i/>
          <w:color w:val="000000"/>
          <w:sz w:val="24"/>
          <w:szCs w:val="24"/>
          <w:lang w:val="kk-KZ" w:eastAsia="ru-RU" w:bidi="hi-IN"/>
        </w:rPr>
        <w:t xml:space="preserve"> сайтында).</w:t>
      </w:r>
      <w:r w:rsidRPr="00FC64FB">
        <w:rPr>
          <w:rFonts w:ascii="Times New Roman" w:eastAsia="Calibri" w:hAnsi="Times New Roman" w:cs="Times New Roman"/>
          <w:color w:val="000000"/>
          <w:sz w:val="24"/>
          <w:szCs w:val="24"/>
          <w:lang w:val="kk-KZ"/>
        </w:rPr>
        <w:t xml:space="preserve"> </w:t>
      </w:r>
    </w:p>
    <w:p w14:paraId="2B70CA77" w14:textId="77777777" w:rsidR="00FC64FB" w:rsidRPr="00FC64FB" w:rsidRDefault="00FC64FB" w:rsidP="00FC64FB">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color w:val="000000"/>
          <w:sz w:val="24"/>
          <w:szCs w:val="24"/>
          <w:lang w:val="kk-KZ"/>
        </w:rPr>
      </w:pPr>
    </w:p>
    <w:p w14:paraId="21140203" w14:textId="77777777" w:rsidR="00FC64FB" w:rsidRPr="00FC64FB" w:rsidRDefault="00FC64FB" w:rsidP="00FC64FB">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sz w:val="24"/>
          <w:szCs w:val="24"/>
          <w:lang w:val="kk-KZ"/>
        </w:rPr>
      </w:pPr>
      <w:r w:rsidRPr="00FC64FB">
        <w:rPr>
          <w:rFonts w:ascii="Times New Roman" w:eastAsia="Calibri" w:hAnsi="Times New Roman" w:cs="Times New Roman"/>
          <w:color w:val="000000"/>
          <w:sz w:val="24"/>
          <w:szCs w:val="24"/>
          <w:lang w:val="kk-KZ"/>
        </w:rPr>
        <w:t xml:space="preserve">«БЖЗҚ» АҚ баспасөз орталығы </w:t>
      </w:r>
    </w:p>
    <w:p w14:paraId="179DEB35" w14:textId="77777777" w:rsidR="00FC64FB" w:rsidRPr="00FC64FB" w:rsidRDefault="00FC64FB" w:rsidP="00FC64FB">
      <w:pPr>
        <w:pBdr>
          <w:bottom w:val="single" w:sz="4" w:space="31" w:color="FFFFFF"/>
        </w:pBdr>
        <w:tabs>
          <w:tab w:val="left" w:pos="1134"/>
        </w:tabs>
        <w:autoSpaceDE w:val="0"/>
        <w:autoSpaceDN w:val="0"/>
        <w:adjustRightInd w:val="0"/>
        <w:spacing w:after="0" w:line="240" w:lineRule="auto"/>
        <w:jc w:val="right"/>
        <w:rPr>
          <w:rFonts w:ascii="Verdana" w:eastAsia="Calibri" w:hAnsi="Verdana" w:cs="Times New Roman"/>
          <w:sz w:val="24"/>
          <w:szCs w:val="24"/>
          <w:lang w:val="kk-KZ"/>
        </w:rPr>
      </w:pPr>
      <w:r w:rsidRPr="00FC64FB">
        <w:rPr>
          <w:rFonts w:ascii="Times New Roman" w:eastAsia="Calibri" w:hAnsi="Times New Roman" w:cs="Times New Roman"/>
          <w:sz w:val="24"/>
          <w:szCs w:val="24"/>
          <w:lang w:val="kk-KZ"/>
        </w:rPr>
        <w:t xml:space="preserve">БАҚ үшін байланыстар: </w:t>
      </w:r>
      <w:hyperlink r:id="rId10" w:history="1">
        <w:r w:rsidRPr="00FC64FB">
          <w:rPr>
            <w:rFonts w:ascii="Times New Roman" w:eastAsia="Calibri" w:hAnsi="Times New Roman" w:cs="Times New Roman"/>
            <w:color w:val="001CAC"/>
            <w:sz w:val="24"/>
            <w:szCs w:val="24"/>
            <w:lang w:val="kk-KZ"/>
          </w:rPr>
          <w:t>press@enpf.kz</w:t>
        </w:r>
      </w:hyperlink>
    </w:p>
    <w:p w14:paraId="205519FC" w14:textId="77777777" w:rsidR="00FC64FB" w:rsidRPr="00FC64FB" w:rsidRDefault="00FC64FB" w:rsidP="00FC64FB">
      <w:pPr>
        <w:spacing w:after="0" w:line="240" w:lineRule="auto"/>
        <w:rPr>
          <w:rFonts w:ascii="Calibri" w:eastAsia="Calibri" w:hAnsi="Calibri" w:cs="Times New Roman"/>
          <w:lang w:val="kk-KZ"/>
        </w:rPr>
      </w:pPr>
    </w:p>
    <w:p w14:paraId="329290C7" w14:textId="77777777" w:rsidR="00FC64FB" w:rsidRPr="00FC64FB" w:rsidRDefault="00FC64FB" w:rsidP="00A56119">
      <w:pPr>
        <w:pStyle w:val="a3"/>
        <w:jc w:val="both"/>
        <w:rPr>
          <w:rFonts w:ascii="Times New Roman" w:hAnsi="Times New Roman"/>
          <w:sz w:val="28"/>
          <w:szCs w:val="28"/>
          <w:lang w:val="kk-KZ"/>
        </w:rPr>
      </w:pPr>
    </w:p>
    <w:sectPr w:rsidR="00FC64FB" w:rsidRPr="00FC64FB" w:rsidSect="00F01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5856"/>
    <w:multiLevelType w:val="multilevel"/>
    <w:tmpl w:val="A69C41AE"/>
    <w:lvl w:ilvl="0">
      <w:start w:val="1"/>
      <w:numFmt w:val="bullet"/>
      <w:lvlText w:val=""/>
      <w:lvlJc w:val="left"/>
      <w:pPr>
        <w:ind w:left="720" w:hanging="360"/>
      </w:pPr>
      <w:rPr>
        <w:rFonts w:ascii="Wingdings" w:hAnsi="Wingding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33433DD0"/>
    <w:multiLevelType w:val="hybridMultilevel"/>
    <w:tmpl w:val="33D4B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967956"/>
    <w:multiLevelType w:val="hybridMultilevel"/>
    <w:tmpl w:val="A120E2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C"/>
    <w:rsid w:val="00003DCD"/>
    <w:rsid w:val="00027DD6"/>
    <w:rsid w:val="00071C9B"/>
    <w:rsid w:val="00081E4B"/>
    <w:rsid w:val="000913E3"/>
    <w:rsid w:val="000965A1"/>
    <w:rsid w:val="000A2EC4"/>
    <w:rsid w:val="000B46E1"/>
    <w:rsid w:val="00122EC1"/>
    <w:rsid w:val="0016173D"/>
    <w:rsid w:val="0017182D"/>
    <w:rsid w:val="00197D14"/>
    <w:rsid w:val="001A7463"/>
    <w:rsid w:val="001B00F9"/>
    <w:rsid w:val="001E5650"/>
    <w:rsid w:val="001F6893"/>
    <w:rsid w:val="002031CC"/>
    <w:rsid w:val="00211071"/>
    <w:rsid w:val="00240A78"/>
    <w:rsid w:val="002567EF"/>
    <w:rsid w:val="0026436F"/>
    <w:rsid w:val="002964FF"/>
    <w:rsid w:val="002A6DC9"/>
    <w:rsid w:val="002D45CF"/>
    <w:rsid w:val="002E6FCC"/>
    <w:rsid w:val="00317B1C"/>
    <w:rsid w:val="003219A7"/>
    <w:rsid w:val="0035090A"/>
    <w:rsid w:val="003759C3"/>
    <w:rsid w:val="00381B38"/>
    <w:rsid w:val="00385CBD"/>
    <w:rsid w:val="00390B4B"/>
    <w:rsid w:val="0039267B"/>
    <w:rsid w:val="003D5BDF"/>
    <w:rsid w:val="003E2ED2"/>
    <w:rsid w:val="0041481F"/>
    <w:rsid w:val="00431B6F"/>
    <w:rsid w:val="00437737"/>
    <w:rsid w:val="004742EB"/>
    <w:rsid w:val="004745BB"/>
    <w:rsid w:val="00482E2F"/>
    <w:rsid w:val="00491C39"/>
    <w:rsid w:val="004D6B03"/>
    <w:rsid w:val="004F6359"/>
    <w:rsid w:val="00500970"/>
    <w:rsid w:val="00523327"/>
    <w:rsid w:val="005521F6"/>
    <w:rsid w:val="00564A2D"/>
    <w:rsid w:val="00581855"/>
    <w:rsid w:val="005907B2"/>
    <w:rsid w:val="005D675D"/>
    <w:rsid w:val="005E578A"/>
    <w:rsid w:val="005F5377"/>
    <w:rsid w:val="00645816"/>
    <w:rsid w:val="006609E5"/>
    <w:rsid w:val="006916CF"/>
    <w:rsid w:val="006C5D95"/>
    <w:rsid w:val="00701D76"/>
    <w:rsid w:val="0073684C"/>
    <w:rsid w:val="007A133A"/>
    <w:rsid w:val="007A4EB4"/>
    <w:rsid w:val="007C539D"/>
    <w:rsid w:val="007C6844"/>
    <w:rsid w:val="007E1C77"/>
    <w:rsid w:val="00800E09"/>
    <w:rsid w:val="008323CA"/>
    <w:rsid w:val="008637D7"/>
    <w:rsid w:val="008B1F30"/>
    <w:rsid w:val="008D3DC0"/>
    <w:rsid w:val="008E63F7"/>
    <w:rsid w:val="008E718F"/>
    <w:rsid w:val="008F03A6"/>
    <w:rsid w:val="009005F5"/>
    <w:rsid w:val="009241DA"/>
    <w:rsid w:val="00932A47"/>
    <w:rsid w:val="00951C9F"/>
    <w:rsid w:val="0099562E"/>
    <w:rsid w:val="009A2BD9"/>
    <w:rsid w:val="009C1A46"/>
    <w:rsid w:val="009E4555"/>
    <w:rsid w:val="009F051C"/>
    <w:rsid w:val="009F3A0C"/>
    <w:rsid w:val="00A047CF"/>
    <w:rsid w:val="00A56119"/>
    <w:rsid w:val="00A603CB"/>
    <w:rsid w:val="00A70AAC"/>
    <w:rsid w:val="00AA0D66"/>
    <w:rsid w:val="00AB01E2"/>
    <w:rsid w:val="00AE23B2"/>
    <w:rsid w:val="00B05B6D"/>
    <w:rsid w:val="00B12301"/>
    <w:rsid w:val="00B64B20"/>
    <w:rsid w:val="00BB1A17"/>
    <w:rsid w:val="00BB4268"/>
    <w:rsid w:val="00BE546E"/>
    <w:rsid w:val="00C26B11"/>
    <w:rsid w:val="00C27D7A"/>
    <w:rsid w:val="00C9109F"/>
    <w:rsid w:val="00D02E8C"/>
    <w:rsid w:val="00D83999"/>
    <w:rsid w:val="00DB0D6D"/>
    <w:rsid w:val="00DB2A40"/>
    <w:rsid w:val="00DB33D9"/>
    <w:rsid w:val="00DF1F45"/>
    <w:rsid w:val="00E01912"/>
    <w:rsid w:val="00E01D68"/>
    <w:rsid w:val="00E1172F"/>
    <w:rsid w:val="00E23A8B"/>
    <w:rsid w:val="00E45B80"/>
    <w:rsid w:val="00E63C2F"/>
    <w:rsid w:val="00E85EAF"/>
    <w:rsid w:val="00F014C4"/>
    <w:rsid w:val="00F070F7"/>
    <w:rsid w:val="00F27BDF"/>
    <w:rsid w:val="00F311E5"/>
    <w:rsid w:val="00F50DC8"/>
    <w:rsid w:val="00FA1E42"/>
    <w:rsid w:val="00FB0ABD"/>
    <w:rsid w:val="00FB3802"/>
    <w:rsid w:val="00FB3B7C"/>
    <w:rsid w:val="00FC1AA6"/>
    <w:rsid w:val="00FC64FB"/>
    <w:rsid w:val="00FE01DB"/>
    <w:rsid w:val="00FE246E"/>
    <w:rsid w:val="00FE7341"/>
    <w:rsid w:val="00FF3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3D5A"/>
  <w15:docId w15:val="{0B55D5AF-06B4-48B4-BFD5-6617B88C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317B1C"/>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1"/>
    <w:locked/>
    <w:rsid w:val="00317B1C"/>
    <w:rPr>
      <w:rFonts w:ascii="Calibri" w:eastAsia="Calibri" w:hAnsi="Calibri" w:cs="Times New Roman"/>
    </w:rPr>
  </w:style>
  <w:style w:type="paragraph" w:styleId="a5">
    <w:name w:val="List Paragraph"/>
    <w:basedOn w:val="a"/>
    <w:uiPriority w:val="34"/>
    <w:qFormat/>
    <w:rsid w:val="00E85EAF"/>
    <w:pPr>
      <w:ind w:left="720"/>
      <w:contextualSpacing/>
    </w:pPr>
  </w:style>
  <w:style w:type="paragraph" w:styleId="a6">
    <w:name w:val="Normal (Web)"/>
    <w:basedOn w:val="a"/>
    <w:uiPriority w:val="99"/>
    <w:unhideWhenUsed/>
    <w:rsid w:val="00DB2A40"/>
    <w:pPr>
      <w:spacing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DB0D6D"/>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3">
    <w:name w:val="Обычный3"/>
    <w:rsid w:val="00DB0D6D"/>
    <w:pPr>
      <w:spacing w:after="0" w:line="240" w:lineRule="auto"/>
    </w:pPr>
    <w:rPr>
      <w:rFonts w:ascii="Times New Roman" w:eastAsia="Times New Roman" w:hAnsi="Times New Roman" w:cs="Times New Roman"/>
      <w:snapToGrid w:val="0"/>
      <w:sz w:val="20"/>
      <w:szCs w:val="20"/>
      <w:lang w:eastAsia="ru-RU"/>
    </w:rPr>
  </w:style>
  <w:style w:type="paragraph" w:styleId="a7">
    <w:name w:val="Balloon Text"/>
    <w:basedOn w:val="a"/>
    <w:link w:val="a8"/>
    <w:uiPriority w:val="99"/>
    <w:semiHidden/>
    <w:unhideWhenUsed/>
    <w:rsid w:val="001A74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7463"/>
    <w:rPr>
      <w:rFonts w:ascii="Segoe UI" w:hAnsi="Segoe UI" w:cs="Segoe UI"/>
      <w:sz w:val="18"/>
      <w:szCs w:val="18"/>
    </w:rPr>
  </w:style>
  <w:style w:type="character" w:styleId="a9">
    <w:name w:val="annotation reference"/>
    <w:basedOn w:val="a0"/>
    <w:uiPriority w:val="99"/>
    <w:semiHidden/>
    <w:unhideWhenUsed/>
    <w:rsid w:val="00437737"/>
    <w:rPr>
      <w:sz w:val="16"/>
      <w:szCs w:val="16"/>
    </w:rPr>
  </w:style>
  <w:style w:type="paragraph" w:styleId="aa">
    <w:name w:val="annotation text"/>
    <w:basedOn w:val="a"/>
    <w:link w:val="ab"/>
    <w:uiPriority w:val="99"/>
    <w:semiHidden/>
    <w:unhideWhenUsed/>
    <w:rsid w:val="00437737"/>
    <w:pPr>
      <w:spacing w:line="240" w:lineRule="auto"/>
    </w:pPr>
    <w:rPr>
      <w:sz w:val="20"/>
      <w:szCs w:val="20"/>
    </w:rPr>
  </w:style>
  <w:style w:type="character" w:customStyle="1" w:styleId="ab">
    <w:name w:val="Текст примечания Знак"/>
    <w:basedOn w:val="a0"/>
    <w:link w:val="aa"/>
    <w:uiPriority w:val="99"/>
    <w:semiHidden/>
    <w:rsid w:val="00437737"/>
    <w:rPr>
      <w:sz w:val="20"/>
      <w:szCs w:val="20"/>
    </w:rPr>
  </w:style>
  <w:style w:type="paragraph" w:styleId="ac">
    <w:name w:val="annotation subject"/>
    <w:basedOn w:val="aa"/>
    <w:next w:val="aa"/>
    <w:link w:val="ad"/>
    <w:uiPriority w:val="99"/>
    <w:semiHidden/>
    <w:unhideWhenUsed/>
    <w:rsid w:val="00437737"/>
    <w:rPr>
      <w:b/>
      <w:bCs/>
    </w:rPr>
  </w:style>
  <w:style w:type="character" w:customStyle="1" w:styleId="ad">
    <w:name w:val="Тема примечания Знак"/>
    <w:basedOn w:val="ab"/>
    <w:link w:val="ac"/>
    <w:uiPriority w:val="99"/>
    <w:semiHidden/>
    <w:rsid w:val="00437737"/>
    <w:rPr>
      <w:b/>
      <w:bCs/>
      <w:sz w:val="20"/>
      <w:szCs w:val="20"/>
    </w:rPr>
  </w:style>
  <w:style w:type="character" w:styleId="ae">
    <w:name w:val="Hyperlink"/>
    <w:basedOn w:val="a0"/>
    <w:uiPriority w:val="99"/>
    <w:unhideWhenUsed/>
    <w:rsid w:val="00645816"/>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29630">
      <w:bodyDiv w:val="1"/>
      <w:marLeft w:val="0"/>
      <w:marRight w:val="0"/>
      <w:marTop w:val="0"/>
      <w:marBottom w:val="0"/>
      <w:divBdr>
        <w:top w:val="none" w:sz="0" w:space="0" w:color="auto"/>
        <w:left w:val="none" w:sz="0" w:space="0" w:color="auto"/>
        <w:bottom w:val="none" w:sz="0" w:space="0" w:color="auto"/>
        <w:right w:val="none" w:sz="0" w:space="0" w:color="auto"/>
      </w:divBdr>
    </w:div>
    <w:div w:id="965694637">
      <w:bodyDiv w:val="1"/>
      <w:marLeft w:val="0"/>
      <w:marRight w:val="0"/>
      <w:marTop w:val="0"/>
      <w:marBottom w:val="0"/>
      <w:divBdr>
        <w:top w:val="none" w:sz="0" w:space="0" w:color="auto"/>
        <w:left w:val="none" w:sz="0" w:space="0" w:color="auto"/>
        <w:bottom w:val="none" w:sz="0" w:space="0" w:color="auto"/>
        <w:right w:val="none" w:sz="0" w:space="0" w:color="auto"/>
      </w:divBdr>
    </w:div>
    <w:div w:id="1048333404">
      <w:bodyDiv w:val="1"/>
      <w:marLeft w:val="0"/>
      <w:marRight w:val="0"/>
      <w:marTop w:val="0"/>
      <w:marBottom w:val="0"/>
      <w:divBdr>
        <w:top w:val="none" w:sz="0" w:space="0" w:color="auto"/>
        <w:left w:val="none" w:sz="0" w:space="0" w:color="auto"/>
        <w:bottom w:val="none" w:sz="0" w:space="0" w:color="auto"/>
        <w:right w:val="none" w:sz="0" w:space="0" w:color="auto"/>
      </w:divBdr>
      <w:divsChild>
        <w:div w:id="1835991602">
          <w:marLeft w:val="0"/>
          <w:marRight w:val="0"/>
          <w:marTop w:val="0"/>
          <w:marBottom w:val="0"/>
          <w:divBdr>
            <w:top w:val="none" w:sz="0" w:space="0" w:color="auto"/>
            <w:left w:val="none" w:sz="0" w:space="0" w:color="auto"/>
            <w:bottom w:val="none" w:sz="0" w:space="0" w:color="auto"/>
            <w:right w:val="none" w:sz="0" w:space="0" w:color="auto"/>
          </w:divBdr>
          <w:divsChild>
            <w:div w:id="1073547577">
              <w:marLeft w:val="0"/>
              <w:marRight w:val="0"/>
              <w:marTop w:val="0"/>
              <w:marBottom w:val="0"/>
              <w:divBdr>
                <w:top w:val="none" w:sz="0" w:space="0" w:color="auto"/>
                <w:left w:val="none" w:sz="0" w:space="0" w:color="auto"/>
                <w:bottom w:val="none" w:sz="0" w:space="0" w:color="auto"/>
                <w:right w:val="none" w:sz="0" w:space="0" w:color="auto"/>
              </w:divBdr>
              <w:divsChild>
                <w:div w:id="1519352572">
                  <w:marLeft w:val="0"/>
                  <w:marRight w:val="0"/>
                  <w:marTop w:val="0"/>
                  <w:marBottom w:val="0"/>
                  <w:divBdr>
                    <w:top w:val="none" w:sz="0" w:space="0" w:color="auto"/>
                    <w:left w:val="none" w:sz="0" w:space="0" w:color="auto"/>
                    <w:bottom w:val="none" w:sz="0" w:space="0" w:color="auto"/>
                    <w:right w:val="none" w:sz="0" w:space="0" w:color="auto"/>
                  </w:divBdr>
                  <w:divsChild>
                    <w:div w:id="3674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99714">
      <w:bodyDiv w:val="1"/>
      <w:marLeft w:val="0"/>
      <w:marRight w:val="0"/>
      <w:marTop w:val="0"/>
      <w:marBottom w:val="0"/>
      <w:divBdr>
        <w:top w:val="none" w:sz="0" w:space="0" w:color="auto"/>
        <w:left w:val="none" w:sz="0" w:space="0" w:color="auto"/>
        <w:bottom w:val="none" w:sz="0" w:space="0" w:color="auto"/>
        <w:right w:val="none" w:sz="0" w:space="0" w:color="auto"/>
      </w:divBdr>
    </w:div>
    <w:div w:id="17334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bank.kz/?docid=3525&amp;switch=kazakh" TargetMode="External"/><Relationship Id="rId3" Type="http://schemas.openxmlformats.org/officeDocument/2006/relationships/styles" Target="styles.xml"/><Relationship Id="rId7" Type="http://schemas.openxmlformats.org/officeDocument/2006/relationships/hyperlink" Target="https://www.enpf.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enpf.kz" TargetMode="External"/><Relationship Id="rId4" Type="http://schemas.openxmlformats.org/officeDocument/2006/relationships/settings" Target="settings.xml"/><Relationship Id="rId9" Type="http://schemas.openxmlformats.org/officeDocument/2006/relationships/hyperlink" Target="http://www.enpf.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BCFC-ED50-400F-887E-1B8B2517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Бердыгулова Дана Кайратовна</dc:creator>
  <cp:lastModifiedBy>Жаппарберген Айбота Қуатәліұлы</cp:lastModifiedBy>
  <cp:revision>30</cp:revision>
  <cp:lastPrinted>2018-10-31T04:51:00Z</cp:lastPrinted>
  <dcterms:created xsi:type="dcterms:W3CDTF">2019-02-06T10:39:00Z</dcterms:created>
  <dcterms:modified xsi:type="dcterms:W3CDTF">2019-02-11T08:10:00Z</dcterms:modified>
</cp:coreProperties>
</file>